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DA" w:rsidRPr="006B2032" w:rsidRDefault="002C07DA" w:rsidP="002C07DA">
      <w:pPr>
        <w:rPr>
          <w:rFonts w:hint="eastAsia"/>
          <w:b/>
          <w:sz w:val="32"/>
          <w:szCs w:val="32"/>
        </w:rPr>
      </w:pPr>
      <w:r w:rsidRPr="006729FE">
        <w:rPr>
          <w:rFonts w:hint="eastAsia"/>
          <w:sz w:val="32"/>
          <w:szCs w:val="32"/>
        </w:rPr>
        <w:t>附件</w:t>
      </w:r>
      <w:r w:rsidR="00B70082">
        <w:rPr>
          <w:rFonts w:hint="eastAsia"/>
          <w:sz w:val="32"/>
          <w:szCs w:val="32"/>
        </w:rPr>
        <w:t>一</w:t>
      </w:r>
      <w:r w:rsidRPr="006729FE">
        <w:rPr>
          <w:rFonts w:hint="eastAsia"/>
          <w:sz w:val="32"/>
          <w:szCs w:val="32"/>
        </w:rPr>
        <w:t>：</w:t>
      </w:r>
      <w:r w:rsidR="00142E9A">
        <w:rPr>
          <w:rFonts w:hint="eastAsia"/>
          <w:b/>
          <w:sz w:val="32"/>
          <w:szCs w:val="32"/>
        </w:rPr>
        <w:t xml:space="preserve">　　　　　　　</w:t>
      </w:r>
      <w:r w:rsidRPr="006B2032">
        <w:rPr>
          <w:rFonts w:hint="eastAsia"/>
          <w:b/>
          <w:sz w:val="32"/>
          <w:szCs w:val="32"/>
        </w:rPr>
        <w:t>重庆大学立卷部门档案验收</w:t>
      </w:r>
      <w:r w:rsidR="00592BCB">
        <w:rPr>
          <w:rFonts w:hint="eastAsia"/>
          <w:b/>
          <w:sz w:val="32"/>
          <w:szCs w:val="32"/>
        </w:rPr>
        <w:t>自</w:t>
      </w:r>
      <w:r w:rsidRPr="006B2032">
        <w:rPr>
          <w:rFonts w:hint="eastAsia"/>
          <w:b/>
          <w:sz w:val="32"/>
          <w:szCs w:val="32"/>
        </w:rPr>
        <w:t>评表</w:t>
      </w:r>
    </w:p>
    <w:tbl>
      <w:tblPr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5"/>
        <w:gridCol w:w="5159"/>
        <w:gridCol w:w="4536"/>
        <w:gridCol w:w="2126"/>
        <w:gridCol w:w="2126"/>
      </w:tblGrid>
      <w:tr w:rsidR="004E0F73" w:rsidRPr="00115A9C">
        <w:trPr>
          <w:trHeight w:val="600"/>
          <w:tblHeader/>
        </w:trPr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115A9C">
              <w:rPr>
                <w:rFonts w:hint="eastAsia"/>
                <w:b/>
                <w:sz w:val="28"/>
                <w:szCs w:val="28"/>
              </w:rPr>
              <w:t>考核</w:t>
            </w:r>
          </w:p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115A9C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115A9C">
              <w:rPr>
                <w:rFonts w:hint="eastAsia"/>
                <w:b/>
                <w:sz w:val="28"/>
                <w:szCs w:val="28"/>
              </w:rPr>
              <w:t>考</w:t>
            </w:r>
            <w:r w:rsidRPr="00115A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5A9C">
              <w:rPr>
                <w:rFonts w:hint="eastAsia"/>
                <w:b/>
                <w:sz w:val="28"/>
                <w:szCs w:val="28"/>
              </w:rPr>
              <w:t>核</w:t>
            </w:r>
            <w:r w:rsidRPr="00115A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5A9C">
              <w:rPr>
                <w:rFonts w:hint="eastAsia"/>
                <w:b/>
                <w:sz w:val="28"/>
                <w:szCs w:val="28"/>
              </w:rPr>
              <w:t>内</w:t>
            </w:r>
            <w:r w:rsidRPr="00115A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15A9C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115A9C">
              <w:rPr>
                <w:rFonts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扣分情况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F73" w:rsidRPr="00115A9C" w:rsidRDefault="004E0F73" w:rsidP="004E0F73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实际得分情况</w:t>
            </w:r>
          </w:p>
        </w:tc>
      </w:tr>
      <w:tr w:rsidR="004E0F73" w:rsidRPr="00115A9C">
        <w:trPr>
          <w:trHeight w:val="390"/>
        </w:trPr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（一）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加强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领导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职责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明确</w:t>
            </w:r>
          </w:p>
          <w:p w:rsidR="004E0F73" w:rsidRPr="00115A9C" w:rsidRDefault="004E0F73" w:rsidP="00115A9C">
            <w:pPr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13分</w:t>
            </w:r>
          </w:p>
        </w:tc>
        <w:tc>
          <w:tcPr>
            <w:tcW w:w="5159" w:type="dxa"/>
            <w:vMerge w:val="restart"/>
            <w:tcBorders>
              <w:top w:val="single" w:sz="12" w:space="0" w:color="auto"/>
            </w:tcBorders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jc w:val="left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1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领导落实。（3分）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明确有一名部、处领导分管档案工作；档案工作责任纳入其岗位职责，在日常文件归档及预立卷工作中对本单位兼（专）职档案工作人员进行检查、督促。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1.明确一名档案工作分管领导2分，未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明确扣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2分。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15"/>
        </w:trPr>
        <w:tc>
          <w:tcPr>
            <w:tcW w:w="795" w:type="dxa"/>
            <w:vMerge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2.纳入其岗位职责的扣1分，未纳入扣1分。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jc w:val="left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2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实行“四同步管理”。（3分）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单位把档案工作列入议事日程，在布置、检查、总结、验收工作时，同时布置、检查、总结、验收档案工作。</w:t>
            </w:r>
          </w:p>
        </w:tc>
        <w:tc>
          <w:tcPr>
            <w:tcW w:w="4536" w:type="dxa"/>
            <w:vAlign w:val="center"/>
          </w:tcPr>
          <w:p w:rsidR="004E0F73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>
              <w:rPr>
                <w:rFonts w:ascii="宋体" w:hAnsi="宋体" w:hint="eastAsia"/>
                <w:caps/>
                <w:sz w:val="18"/>
              </w:rPr>
              <w:t>1.年终总结请附会议记录</w:t>
            </w:r>
            <w:r w:rsidR="004E0F73" w:rsidRPr="00115A9C">
              <w:rPr>
                <w:rFonts w:ascii="宋体" w:hAnsi="宋体" w:hint="eastAsia"/>
                <w:caps/>
                <w:sz w:val="18"/>
              </w:rPr>
              <w:t>、工作计划、工作总结</w:t>
            </w:r>
            <w:r>
              <w:rPr>
                <w:rFonts w:ascii="宋体" w:hAnsi="宋体" w:hint="eastAsia"/>
                <w:caps/>
                <w:sz w:val="18"/>
              </w:rPr>
              <w:t>复印件，其中</w:t>
            </w:r>
            <w:r w:rsidR="004E0F73" w:rsidRPr="00115A9C">
              <w:rPr>
                <w:rFonts w:ascii="宋体" w:hAnsi="宋体" w:hint="eastAsia"/>
                <w:caps/>
                <w:sz w:val="18"/>
              </w:rPr>
              <w:t>反映档案工作3分，每缺一项扣1分。</w:t>
            </w:r>
          </w:p>
          <w:p w:rsidR="00592BCB" w:rsidRPr="00592BCB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>
              <w:rPr>
                <w:rFonts w:ascii="宋体" w:hAnsi="宋体" w:hint="eastAsia"/>
                <w:caps/>
                <w:sz w:val="18"/>
              </w:rPr>
              <w:t>2.缺年终自评、年终总结扣3分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30"/>
        </w:trPr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 w:val="restart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jc w:val="lef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3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责任人员落实。（2分</w:t>
            </w:r>
            <w:r w:rsidRPr="00115A9C">
              <w:rPr>
                <w:rFonts w:ascii="宋体" w:hAnsi="宋体" w:hint="eastAsia"/>
                <w:caps/>
                <w:sz w:val="18"/>
              </w:rPr>
              <w:t>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配备1—2名兼（专）职档案工作人员，并将此项工作纳入其岗位职责，负责本单位文件的立卷归档工作。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1.确定兼职档案工作人员1分，未确定兼职档案工作人员扣1分。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90"/>
        </w:trPr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2.纳入其岗位职责1分，未纳入其岗位职责扣1分。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60"/>
        </w:trPr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 w:val="restart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jc w:val="left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4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人员调整变动工作不脱节。（2分）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分管领导和兼（专）职档案人员队伍相对稳定，人员变换时能及时补充，并能及时将调整结果报档案馆备案。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1.人员变换时及时补充1分，未及时补充扣1分。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60"/>
        </w:trPr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2.人员调整结果及时报送1分，未及时报关扣1分。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c>
          <w:tcPr>
            <w:tcW w:w="795" w:type="dxa"/>
            <w:vMerge/>
            <w:vAlign w:val="center"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jc w:val="left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5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参加会议和培训活动。（3分）</w:t>
            </w:r>
          </w:p>
          <w:p w:rsidR="004E0F73" w:rsidRPr="00115A9C" w:rsidRDefault="004E0F73" w:rsidP="00ED53F9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认真参加学校档案工作有关会议和业务培训</w:t>
            </w:r>
            <w:r w:rsidR="00ED53F9" w:rsidRPr="00115A9C">
              <w:rPr>
                <w:rFonts w:ascii="宋体" w:hAnsi="宋体" w:hint="eastAsia"/>
                <w:caps/>
                <w:sz w:val="18"/>
              </w:rPr>
              <w:t>及档案工作年终评定工作</w:t>
            </w:r>
            <w:r w:rsidRPr="00115A9C">
              <w:rPr>
                <w:rFonts w:ascii="宋体" w:hAnsi="宋体" w:hint="eastAsia"/>
                <w:caps/>
                <w:sz w:val="18"/>
              </w:rPr>
              <w:t>等。</w:t>
            </w:r>
          </w:p>
        </w:tc>
        <w:tc>
          <w:tcPr>
            <w:tcW w:w="4536" w:type="dxa"/>
            <w:vAlign w:val="center"/>
          </w:tcPr>
          <w:p w:rsidR="004E0F73" w:rsidRPr="00115A9C" w:rsidRDefault="004E0F73" w:rsidP="00ED53F9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分管领导和兼职档案人员出席会议和培训</w:t>
            </w:r>
            <w:r w:rsidR="00ED53F9">
              <w:rPr>
                <w:rFonts w:ascii="宋体" w:hAnsi="宋体" w:hint="eastAsia"/>
                <w:caps/>
                <w:sz w:val="18"/>
              </w:rPr>
              <w:t>及年终考核工作等</w:t>
            </w:r>
            <w:r w:rsidRPr="00115A9C">
              <w:rPr>
                <w:rFonts w:ascii="宋体" w:hAnsi="宋体" w:hint="eastAsia"/>
                <w:caps/>
                <w:sz w:val="18"/>
              </w:rPr>
              <w:t>3分，每缺1人次扣1分，扣完为止。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414"/>
        </w:trPr>
        <w:tc>
          <w:tcPr>
            <w:tcW w:w="795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（二）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按时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立卷</w:t>
            </w:r>
          </w:p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归档</w:t>
            </w:r>
          </w:p>
          <w:p w:rsidR="004E0F73" w:rsidRDefault="004E0F73" w:rsidP="00115A9C">
            <w:pPr>
              <w:jc w:val="center"/>
              <w:rPr>
                <w:rFonts w:hint="eastAsia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15分</w:t>
            </w: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/>
                <w:b/>
                <w:caps/>
                <w:sz w:val="18"/>
              </w:rPr>
              <w:t>1.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坚持执行部门立卷制度。（3分）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立卷部门档案由兼职档案员统一移交；档案归口部门，负责对所属归口单位档案工作进行督促，检查。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1．一般立卷部门档案统一由兼职档案员移交档案馆3分，未统一移交扣3分；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592BCB" w:rsidRPr="00115A9C">
        <w:trPr>
          <w:trHeight w:val="530"/>
        </w:trPr>
        <w:tc>
          <w:tcPr>
            <w:tcW w:w="795" w:type="dxa"/>
            <w:vMerge/>
            <w:vAlign w:val="center"/>
          </w:tcPr>
          <w:p w:rsidR="00592BCB" w:rsidRPr="00115A9C" w:rsidRDefault="00592BCB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vAlign w:val="center"/>
          </w:tcPr>
          <w:p w:rsidR="00592BCB" w:rsidRPr="00115A9C" w:rsidRDefault="00592BCB" w:rsidP="00115A9C">
            <w:pPr>
              <w:spacing w:line="240" w:lineRule="exact"/>
              <w:ind w:firstLineChars="200" w:firstLine="361"/>
              <w:rPr>
                <w:rFonts w:ascii="宋体" w:hAnsi="宋体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92BCB" w:rsidRPr="00115A9C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2．有档案归口指导责任的部门，统一移交2分，未统一移交扣2分。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2BCB" w:rsidRPr="00115A9C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2BCB" w:rsidRPr="00115A9C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71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592BCB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>
              <w:rPr>
                <w:rFonts w:ascii="宋体" w:hAnsi="宋体" w:hint="eastAsia"/>
                <w:caps/>
                <w:sz w:val="18"/>
              </w:rPr>
              <w:t>3.</w:t>
            </w:r>
            <w:r w:rsidR="004E0F73" w:rsidRPr="00115A9C">
              <w:rPr>
                <w:rFonts w:ascii="宋体" w:hAnsi="宋体" w:hint="eastAsia"/>
                <w:caps/>
                <w:sz w:val="18"/>
              </w:rPr>
              <w:t>有档案归口指导责任的部门，对归口部门档案工作进行督促、检查1分，</w:t>
            </w:r>
            <w:proofErr w:type="gramStart"/>
            <w:r w:rsidR="004E0F73" w:rsidRPr="00115A9C">
              <w:rPr>
                <w:rFonts w:ascii="宋体" w:hAnsi="宋体" w:hint="eastAsia"/>
                <w:caps/>
                <w:sz w:val="18"/>
              </w:rPr>
              <w:t>未指导</w:t>
            </w:r>
            <w:proofErr w:type="gramEnd"/>
            <w:r w:rsidR="004E0F73" w:rsidRPr="00115A9C">
              <w:rPr>
                <w:rFonts w:ascii="宋体" w:hAnsi="宋体" w:hint="eastAsia"/>
                <w:caps/>
                <w:sz w:val="18"/>
              </w:rPr>
              <w:t>的扣1分。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1440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/>
                <w:b/>
                <w:caps/>
                <w:sz w:val="18"/>
              </w:rPr>
              <w:t>2.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 xml:space="preserve"> 按时、完整归档。（5分）</w:t>
            </w:r>
          </w:p>
          <w:p w:rsidR="004E0F73" w:rsidRPr="00115A9C" w:rsidRDefault="004E0F73" w:rsidP="00BF015A">
            <w:pPr>
              <w:spacing w:line="240" w:lineRule="exact"/>
              <w:ind w:firstLineChars="200" w:firstLine="360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按照教育部、国家档案局《高等学校档案管理办法》及《重庆大学档案管理规定》的要求按时向档案馆移交本单位前一年的全部档案:能按年度归档的部门，应在次年六月底前归档；需按学年年度归档的档案,如学籍登记表等应在次年寒假前归档；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科研项目</w:t>
            </w:r>
            <w:r w:rsidRPr="00115A9C">
              <w:rPr>
                <w:rFonts w:ascii="宋体" w:hAnsi="宋体" w:hint="eastAsia"/>
                <w:caps/>
                <w:sz w:val="18"/>
              </w:rPr>
              <w:t>档案，应在项目完成后三个月内归档；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基建项目</w:t>
            </w:r>
            <w:r w:rsidRPr="00115A9C">
              <w:rPr>
                <w:rFonts w:ascii="宋体" w:hAnsi="宋体" w:hint="eastAsia"/>
                <w:caps/>
                <w:sz w:val="18"/>
              </w:rPr>
              <w:t>档案应在综合竣工验收后三个月内归档；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重大活动或事件的声像档案</w:t>
            </w:r>
            <w:r w:rsidRPr="00115A9C">
              <w:rPr>
                <w:rFonts w:ascii="宋体" w:hAnsi="宋体" w:hint="eastAsia"/>
                <w:caps/>
                <w:sz w:val="18"/>
              </w:rPr>
              <w:t>应在工作结束后一个月内归档。</w:t>
            </w:r>
          </w:p>
        </w:tc>
        <w:tc>
          <w:tcPr>
            <w:tcW w:w="4536" w:type="dxa"/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应归档文件材料按时归档5分，未及时归档的扣5。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21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/>
                <w:b/>
                <w:caps/>
                <w:sz w:val="18"/>
              </w:rPr>
              <w:t>3.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 xml:space="preserve"> 按时完成整改、装订工作（7分）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立卷部门归档文件应在8月底之前由档案馆进行审核和指</w:t>
            </w:r>
            <w:r w:rsidRPr="00115A9C">
              <w:rPr>
                <w:rFonts w:ascii="宋体" w:hAnsi="宋体" w:hint="eastAsia"/>
                <w:caps/>
                <w:sz w:val="18"/>
              </w:rPr>
              <w:lastRenderedPageBreak/>
              <w:t>导，完成整改工作；在11月一个月内完成档案装订工作。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lastRenderedPageBreak/>
              <w:t>1．立卷部门在8月底之前完成整改4分，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未完成扣4分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10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2．立卷部门在11月份一个月内完成档案装订工作3分，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未完成扣3分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55"/>
        </w:trPr>
        <w:tc>
          <w:tcPr>
            <w:tcW w:w="795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lastRenderedPageBreak/>
              <w:t>（三）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案卷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质量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18分</w:t>
            </w:r>
          </w:p>
        </w:tc>
        <w:tc>
          <w:tcPr>
            <w:tcW w:w="5159" w:type="dxa"/>
            <w:vMerge w:val="restart"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1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归档文件材料符合公文要求。（8分）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公文用纸、用印规范；领导签批意见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不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越过装订线；使用笔墨符合档案保护的要求（不使用红墨水、圆珠笔等不规范笔墨，只能用签字笔，碳素墨水或蓝黑墨水书写）；正式归档公文不得有涂改痕迹；正式公文不得使用复印件归档。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1.公文用纸规范（一般公文A4幅面，图表等超大幅面折叠成A4幅面）2分，不规范的每份扣0.5分，扣完为止。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25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2.所有归档正式公文都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加盖鲜章1分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，未用印每份扣0.5分，扣完为止。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40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3.领导签批意见未越过装订线1分，越过装订线每份扣0.5分，扣完为止。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40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4.使用笔墨符合档案保护要求1分，不符合要求每份扣0.5分扣完为止。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07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5．归档文件整洁1分，存在涂改情况，每份扣0.5分，扣完为止。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185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tcBorders>
              <w:righ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6．正式公文要求原件归档2分，使用复印件归档的每份扣0.5分，扣完为止。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510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2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案卷材料排列符合归档要求。（4分）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文件材料的正文、附件、请示、批复齐全完整；排放顺序正确；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组卷能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遵循文件材料的形成规律，保持内在的有机联系，区别其不同价值，便于保管利用。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1.文件材料的发文稿纸、正文、附件、请示、批复完整2分，不完整每份扣0.5分扣完为止。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48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2.文件材料排放顺序正确2分，排放错误每处扣0.5分，扣完为止。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195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3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卷内文件整理规范。（4分）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卷（盒）内文件材料编号规范、完整；目录打印规范；备考表应签字的地方已签字署名。（6分）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1.文件材料编号规范、完整2分，不规范每份扣0.5分，扣完为止。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32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2.目录打印规范1分，不规范扣1分。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25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jc w:val="lef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3.备考表签字署名1分，未签字署名的扣1分。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41"/>
        </w:trPr>
        <w:tc>
          <w:tcPr>
            <w:tcW w:w="795" w:type="dxa"/>
            <w:vMerge/>
          </w:tcPr>
          <w:p w:rsidR="004E0F73" w:rsidRDefault="004E0F73" w:rsidP="002C07DA">
            <w:pPr>
              <w:rPr>
                <w:rFonts w:hint="eastAsia"/>
              </w:rPr>
            </w:pPr>
          </w:p>
        </w:tc>
        <w:tc>
          <w:tcPr>
            <w:tcW w:w="5159" w:type="dxa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4</w:t>
            </w:r>
            <w:r w:rsidRPr="00115A9C">
              <w:rPr>
                <w:rFonts w:ascii="宋体" w:hAnsi="宋体"/>
                <w:b/>
                <w:caps/>
                <w:sz w:val="18"/>
              </w:rPr>
              <w:t>.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装订整齐、美观。（2分）</w:t>
            </w:r>
          </w:p>
        </w:tc>
        <w:tc>
          <w:tcPr>
            <w:tcW w:w="4536" w:type="dxa"/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装订整齐、美观2分，不整齐、美观的每份扣0.5分扣完为止。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c>
          <w:tcPr>
            <w:tcW w:w="795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（四）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电子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文件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归档</w:t>
            </w:r>
          </w:p>
          <w:p w:rsidR="004E0F73" w:rsidRPr="00115A9C" w:rsidRDefault="004E0F73" w:rsidP="00115A9C">
            <w:pPr>
              <w:spacing w:line="240" w:lineRule="exact"/>
              <w:ind w:left="180" w:hangingChars="100" w:hanging="180"/>
              <w:jc w:val="center"/>
              <w:rPr>
                <w:rFonts w:ascii="宋体" w:hAnsi="宋体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32分</w:t>
            </w:r>
          </w:p>
        </w:tc>
        <w:tc>
          <w:tcPr>
            <w:tcW w:w="5159" w:type="dxa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1.OA系统电子文件在线归档。（6分）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凡OA系统中产生的需归档文件，公文中转人员应及时</w:t>
            </w:r>
            <w:r w:rsidRPr="00115A9C">
              <w:rPr>
                <w:rFonts w:ascii="宋体" w:hAnsi="宋体"/>
                <w:caps/>
                <w:sz w:val="18"/>
              </w:rPr>
              <w:t>交办理人</w:t>
            </w:r>
            <w:r w:rsidRPr="00115A9C">
              <w:rPr>
                <w:rFonts w:ascii="宋体" w:hAnsi="宋体" w:hint="eastAsia"/>
                <w:caps/>
                <w:sz w:val="18"/>
              </w:rPr>
              <w:t>（兼职档案人员）进行</w:t>
            </w:r>
            <w:r w:rsidRPr="00115A9C">
              <w:rPr>
                <w:rFonts w:ascii="宋体" w:hAnsi="宋体"/>
                <w:caps/>
                <w:sz w:val="18"/>
              </w:rPr>
              <w:t>预归档</w:t>
            </w:r>
            <w:r w:rsidRPr="00115A9C">
              <w:rPr>
                <w:rFonts w:ascii="宋体" w:hAnsi="宋体" w:hint="eastAsia"/>
                <w:caps/>
                <w:sz w:val="18"/>
              </w:rPr>
              <w:t>，由兼职档案员在线上传归入档案管理信息系统。</w:t>
            </w:r>
          </w:p>
        </w:tc>
        <w:tc>
          <w:tcPr>
            <w:tcW w:w="4536" w:type="dxa"/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凡OA系统电子文件都必须在线上传到档案管理系统6分，否则：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1.未在线上传的OA文件占归档OA文件总量的比例小于10%的扣2分；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2.未在线上传的OA文件占归档OA文件总量的比例小于20%的扣4分；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3.未在线上传的OA文件占归档OA文件总量的比例大于20%的扣6分；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480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2.OA系统电子文件</w:t>
            </w:r>
            <w:r>
              <w:rPr>
                <w:rFonts w:ascii="宋体" w:hAnsi="宋体" w:hint="eastAsia"/>
                <w:b/>
                <w:caps/>
                <w:sz w:val="18"/>
              </w:rPr>
              <w:t>双</w:t>
            </w:r>
            <w:r w:rsidRPr="00115A9C">
              <w:rPr>
                <w:rFonts w:ascii="宋体" w:hAnsi="宋体" w:hint="eastAsia"/>
                <w:b/>
                <w:caps/>
                <w:sz w:val="18"/>
              </w:rPr>
              <w:t>套制归档。（6分）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OA系统中应归档的电子文件都应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套红头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打印成纸质文件，并加盖鲜章；应打印纸质审批流程单与正式纸质公文一并归档。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OA系统电子文件按要求打印成纸质文件2分，未打印成纸质文件，每份扣0.5分，扣完为止。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25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打印的纸质文件符合要求（套红头、加盖鲜章）2</w:t>
            </w:r>
            <w:r w:rsidRPr="00115A9C">
              <w:rPr>
                <w:rFonts w:ascii="宋体" w:hAnsi="宋体" w:hint="eastAsia"/>
                <w:caps/>
                <w:sz w:val="18"/>
              </w:rPr>
              <w:lastRenderedPageBreak/>
              <w:t>分，不符合要求，每份扣0.5分，扣完为止。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525"/>
        </w:trPr>
        <w:tc>
          <w:tcPr>
            <w:tcW w:w="795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jc w:val="center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3．打印了审批流程单2分，缺审批流程单每缺一份扣0.5分，扣完为止。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77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3.电子目录齐全、准确（8分）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凡归档文件都必须通过档案管理信息系统著录；所有文件都有电子目录；电子目录与纸质文件一一对应；电子目录著录准确。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1.归档文件在档案管理系统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中著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录的2分，未在管理系统著录的扣2分；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94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 所有文件都有电子目录2分，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无电子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目录的扣2分。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99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3．归档文件目录与纸质或光盘一一对应2分，不一致的，扣2分。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02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4．电子目录著录准确2分，不准确的，每1份扣0.5分，扣完为止。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70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4．非OA系统电子文件双套制归档（6分）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凡本单位非OA系统形成的归档文件都应有电子文件；电子文件必须在线上传归入档案管理信息系统。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1．凡本单位非OA系统形成的归档文件都应有电子文件2分，每缺1份扣0.5分，扣完为止。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1319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2．电子文件在线上传到档案管理系统4分，凡未在线上传的：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①未在线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上传占非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OA系统电子文件总量的比例小于10%的扣2分；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②</w:t>
            </w:r>
            <w:r w:rsidRPr="00115A9C">
              <w:rPr>
                <w:rFonts w:ascii="宋体" w:hAnsi="宋体" w:cs="宋体-方正超大字符集" w:hint="eastAsia"/>
                <w:caps/>
                <w:sz w:val="18"/>
              </w:rPr>
              <w:t>未</w:t>
            </w:r>
            <w:r w:rsidRPr="00115A9C">
              <w:rPr>
                <w:rFonts w:ascii="宋体" w:hAnsi="宋体" w:hint="eastAsia"/>
                <w:caps/>
                <w:sz w:val="18"/>
              </w:rPr>
              <w:t>在线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上传占非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OA系统电子文件总量的比例小于20%的扣3分；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③未在线</w:t>
            </w:r>
            <w:proofErr w:type="gramStart"/>
            <w:r w:rsidRPr="00115A9C">
              <w:rPr>
                <w:rFonts w:ascii="宋体" w:hAnsi="宋体" w:hint="eastAsia"/>
                <w:caps/>
                <w:sz w:val="18"/>
              </w:rPr>
              <w:t>上传占非</w:t>
            </w:r>
            <w:proofErr w:type="gramEnd"/>
            <w:r w:rsidRPr="00115A9C">
              <w:rPr>
                <w:rFonts w:ascii="宋体" w:hAnsi="宋体" w:hint="eastAsia"/>
                <w:caps/>
                <w:sz w:val="18"/>
              </w:rPr>
              <w:t>OA系统电子文件总量的比例大于20%的扣4分。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1217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5.非OA系统归档电子文件准确。（6分）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凡本单位产生的归档的非OA系统电子文件与纸质文件内容应完全一致。</w:t>
            </w:r>
          </w:p>
        </w:tc>
        <w:tc>
          <w:tcPr>
            <w:tcW w:w="4536" w:type="dxa"/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归档电子文件内容要求与纸质文件内容完全一致6分，否则：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①归档电子文件与归档纸质文件内容不一致的比例小于10%的扣2分；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②归档电子文件与归档纸质文件内容不一致的比例小于20%的扣4分；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③归档电子文件与归档纸质文件内容不一致的比例大于20%的扣6分。</w:t>
            </w: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560"/>
        </w:trPr>
        <w:tc>
          <w:tcPr>
            <w:tcW w:w="795" w:type="dxa"/>
            <w:vMerge w:val="restart"/>
            <w:vAlign w:val="center"/>
          </w:tcPr>
          <w:p w:rsidR="004E0F73" w:rsidRPr="00592BCB" w:rsidRDefault="004E0F73" w:rsidP="00592BCB">
            <w:pPr>
              <w:spacing w:line="240" w:lineRule="exact"/>
              <w:ind w:left="181" w:hangingChars="100" w:hanging="181"/>
              <w:jc w:val="center"/>
              <w:rPr>
                <w:rFonts w:ascii="宋体" w:hAnsi="宋体" w:hint="eastAsia"/>
                <w:b/>
                <w:caps/>
                <w:sz w:val="18"/>
              </w:rPr>
            </w:pPr>
            <w:r w:rsidRPr="00592BCB">
              <w:rPr>
                <w:rFonts w:ascii="宋体" w:hAnsi="宋体" w:hint="eastAsia"/>
                <w:b/>
                <w:caps/>
                <w:sz w:val="18"/>
              </w:rPr>
              <w:t>（五）声像材料归档</w:t>
            </w:r>
          </w:p>
          <w:p w:rsidR="004E0F73" w:rsidRPr="00592BCB" w:rsidRDefault="004E0F73" w:rsidP="00592BCB">
            <w:pPr>
              <w:spacing w:line="240" w:lineRule="exact"/>
              <w:ind w:left="181" w:hangingChars="100" w:hanging="181"/>
              <w:jc w:val="center"/>
              <w:rPr>
                <w:rFonts w:ascii="宋体" w:hAnsi="宋体" w:hint="eastAsia"/>
                <w:b/>
                <w:caps/>
                <w:sz w:val="18"/>
              </w:rPr>
            </w:pPr>
            <w:r w:rsidRPr="00592BCB">
              <w:rPr>
                <w:rFonts w:ascii="宋体" w:hAnsi="宋体" w:hint="eastAsia"/>
                <w:b/>
                <w:caps/>
                <w:sz w:val="18"/>
              </w:rPr>
              <w:t>22分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1．应归档的声像材料齐全、完整。（5分）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本单位举办的一些重大活动、重大事件产生的有查考利用价值的声像材料都应归档。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声像材料齐全、完整5分，每缺一项扣1分，扣完为止。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531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2．数码照片在线上传归档。（4分）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数码照片必须在线上传归入档案管理系统。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凡数码照片必须在线上传到档案管理系统4分，否则：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1.未在线上传照片点照片总量的比例小于10%的扣2分；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2.未在线上传照片点照片总量的比例小于20%的扣3分；</w:t>
            </w:r>
          </w:p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3.未在线上传照片点照片总量的比例大于20%的扣4分；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566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 w:val="restart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3．归档的声像材料应有电子目录且著录准确。（5分）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照片、录音、录像等材料都应有电子目录；电子目录与声像材料一一对应；著录准确。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1．归档声像材料都应在档案管理系统中录入目录1分，未在线录入系统中扣1分。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05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2．电子目录与声像材料一一对应2分，未一一对应的扣2分。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252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3．电子目录著录准确2分，不准确的每条扣0.5分，扣完为止。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495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4．归档数码照片应双套制归档。（5分）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同一活动、事件的数码照片应挑选最具代表性的归档；归档数码照片应加印成纸质照片归档；归档数码照片格式符合归档规范要求。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1．同一事件或活动的照片经过精选1分，未精选扣1分。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60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2．归档数码照片应印成纸质照片归档3分，未加印的每张扣0.5分，扣完为止。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345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Merge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3．照片格式符合要求1分，不符合要求扣1分。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  <w:tr w:rsidR="004E0F73" w:rsidRPr="00115A9C">
        <w:trPr>
          <w:trHeight w:val="634"/>
        </w:trPr>
        <w:tc>
          <w:tcPr>
            <w:tcW w:w="795" w:type="dxa"/>
            <w:vMerge/>
          </w:tcPr>
          <w:p w:rsidR="004E0F73" w:rsidRPr="00115A9C" w:rsidRDefault="004E0F73" w:rsidP="00115A9C">
            <w:pPr>
              <w:spacing w:line="240" w:lineRule="exact"/>
              <w:rPr>
                <w:rFonts w:ascii="黑体" w:eastAsia="黑体" w:hAnsi="宋体" w:hint="eastAsia"/>
                <w:caps/>
              </w:rPr>
            </w:pPr>
          </w:p>
        </w:tc>
        <w:tc>
          <w:tcPr>
            <w:tcW w:w="5159" w:type="dxa"/>
            <w:vAlign w:val="center"/>
          </w:tcPr>
          <w:p w:rsidR="004E0F73" w:rsidRPr="00115A9C" w:rsidRDefault="004E0F73" w:rsidP="00115A9C">
            <w:pPr>
              <w:spacing w:line="240" w:lineRule="exact"/>
              <w:ind w:firstLineChars="200" w:firstLine="361"/>
              <w:rPr>
                <w:rFonts w:ascii="宋体" w:hAnsi="宋体" w:hint="eastAsia"/>
                <w:b/>
                <w:caps/>
                <w:sz w:val="18"/>
              </w:rPr>
            </w:pPr>
            <w:r w:rsidRPr="00115A9C">
              <w:rPr>
                <w:rFonts w:ascii="宋体" w:hAnsi="宋体" w:hint="eastAsia"/>
                <w:b/>
                <w:caps/>
                <w:sz w:val="18"/>
              </w:rPr>
              <w:t>5．归档照片、录音、录像材料背景信息完整、准确。（3分）</w:t>
            </w:r>
          </w:p>
          <w:p w:rsidR="004E0F73" w:rsidRPr="00115A9C" w:rsidRDefault="004E0F73" w:rsidP="00115A9C">
            <w:pPr>
              <w:spacing w:line="240" w:lineRule="exact"/>
              <w:ind w:firstLineChars="200" w:firstLine="360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归档的录音及录像材料要求有完整、准确反映事件的背景信息。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  <w:r w:rsidRPr="00115A9C">
              <w:rPr>
                <w:rFonts w:ascii="宋体" w:hAnsi="宋体" w:hint="eastAsia"/>
                <w:caps/>
                <w:sz w:val="18"/>
              </w:rPr>
              <w:t>照片、录音、录像材料背景信息完整、准确3分，无背景信息或背景信息不准确每件扣0.5分，扣完为止。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F73" w:rsidRPr="00115A9C" w:rsidRDefault="004E0F73" w:rsidP="00115A9C">
            <w:pPr>
              <w:spacing w:line="240" w:lineRule="exact"/>
              <w:rPr>
                <w:rFonts w:ascii="宋体" w:hAnsi="宋体" w:hint="eastAsia"/>
                <w:caps/>
                <w:sz w:val="18"/>
              </w:rPr>
            </w:pPr>
          </w:p>
        </w:tc>
      </w:tr>
    </w:tbl>
    <w:p w:rsidR="00142E9A" w:rsidRDefault="00D16321" w:rsidP="00D16321">
      <w:r>
        <w:t xml:space="preserve"> </w:t>
      </w:r>
    </w:p>
    <w:p w:rsidR="00AB2EA8" w:rsidRPr="00142E9A" w:rsidRDefault="00AB2EA8"/>
    <w:sectPr w:rsidR="00AB2EA8" w:rsidRPr="00142E9A" w:rsidSect="002C07DA">
      <w:headerReference w:type="even" r:id="rId7"/>
      <w:head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4E" w:rsidRDefault="002B174E">
      <w:r>
        <w:separator/>
      </w:r>
    </w:p>
  </w:endnote>
  <w:endnote w:type="continuationSeparator" w:id="0">
    <w:p w:rsidR="002B174E" w:rsidRDefault="002B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4E" w:rsidRDefault="002B174E">
      <w:r>
        <w:separator/>
      </w:r>
    </w:p>
  </w:footnote>
  <w:footnote w:type="continuationSeparator" w:id="0">
    <w:p w:rsidR="002B174E" w:rsidRDefault="002B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82" w:rsidRDefault="00B70082" w:rsidP="00B7008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82" w:rsidRDefault="00B70082" w:rsidP="00B7008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C10"/>
    <w:multiLevelType w:val="hybridMultilevel"/>
    <w:tmpl w:val="D03668D2"/>
    <w:lvl w:ilvl="0" w:tplc="9CEEF2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7DA"/>
    <w:rsid w:val="000176F4"/>
    <w:rsid w:val="00030D72"/>
    <w:rsid w:val="00057609"/>
    <w:rsid w:val="00062F4E"/>
    <w:rsid w:val="000C0529"/>
    <w:rsid w:val="000C252E"/>
    <w:rsid w:val="000D2FAE"/>
    <w:rsid w:val="00115A9C"/>
    <w:rsid w:val="001302AA"/>
    <w:rsid w:val="00142E9A"/>
    <w:rsid w:val="001611EC"/>
    <w:rsid w:val="001B15BE"/>
    <w:rsid w:val="00251E67"/>
    <w:rsid w:val="002648BB"/>
    <w:rsid w:val="0029679E"/>
    <w:rsid w:val="002B174E"/>
    <w:rsid w:val="002C07DA"/>
    <w:rsid w:val="002C789A"/>
    <w:rsid w:val="00314357"/>
    <w:rsid w:val="00345612"/>
    <w:rsid w:val="003A1B18"/>
    <w:rsid w:val="003C2A23"/>
    <w:rsid w:val="003C403A"/>
    <w:rsid w:val="003E0C83"/>
    <w:rsid w:val="00422AAE"/>
    <w:rsid w:val="0045659B"/>
    <w:rsid w:val="004B0D91"/>
    <w:rsid w:val="004C40EC"/>
    <w:rsid w:val="004E0F73"/>
    <w:rsid w:val="005216BA"/>
    <w:rsid w:val="0056721C"/>
    <w:rsid w:val="00592BCB"/>
    <w:rsid w:val="00614C28"/>
    <w:rsid w:val="006645AE"/>
    <w:rsid w:val="006A01A6"/>
    <w:rsid w:val="006C2034"/>
    <w:rsid w:val="006F6FB7"/>
    <w:rsid w:val="0073770D"/>
    <w:rsid w:val="00776CD6"/>
    <w:rsid w:val="008169A6"/>
    <w:rsid w:val="00816E68"/>
    <w:rsid w:val="0083493C"/>
    <w:rsid w:val="00865B05"/>
    <w:rsid w:val="00897D2B"/>
    <w:rsid w:val="008D594D"/>
    <w:rsid w:val="00945111"/>
    <w:rsid w:val="0097173F"/>
    <w:rsid w:val="009B4AAF"/>
    <w:rsid w:val="009E22A2"/>
    <w:rsid w:val="009F00DF"/>
    <w:rsid w:val="00A22A3E"/>
    <w:rsid w:val="00A27897"/>
    <w:rsid w:val="00A44306"/>
    <w:rsid w:val="00A51EA5"/>
    <w:rsid w:val="00AB2EA8"/>
    <w:rsid w:val="00AB5A8A"/>
    <w:rsid w:val="00AD28EA"/>
    <w:rsid w:val="00B00D03"/>
    <w:rsid w:val="00B70082"/>
    <w:rsid w:val="00BF015A"/>
    <w:rsid w:val="00C0258E"/>
    <w:rsid w:val="00C53528"/>
    <w:rsid w:val="00C57A76"/>
    <w:rsid w:val="00C77370"/>
    <w:rsid w:val="00C966E4"/>
    <w:rsid w:val="00CC6CF5"/>
    <w:rsid w:val="00CD732F"/>
    <w:rsid w:val="00D1124A"/>
    <w:rsid w:val="00D16321"/>
    <w:rsid w:val="00D16D7F"/>
    <w:rsid w:val="00D50251"/>
    <w:rsid w:val="00D7762F"/>
    <w:rsid w:val="00DA6D76"/>
    <w:rsid w:val="00E20145"/>
    <w:rsid w:val="00ED53F9"/>
    <w:rsid w:val="00F15EC6"/>
    <w:rsid w:val="00F22074"/>
    <w:rsid w:val="00F7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07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70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0082"/>
    <w:rPr>
      <w:kern w:val="2"/>
      <w:sz w:val="18"/>
      <w:szCs w:val="18"/>
    </w:rPr>
  </w:style>
  <w:style w:type="paragraph" w:styleId="a5">
    <w:name w:val="footer"/>
    <w:basedOn w:val="a"/>
    <w:link w:val="Char0"/>
    <w:rsid w:val="00B70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00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　　　　　　　　　　　　　重庆大学立卷部门档案验收评定表</dc:title>
  <dc:subject/>
  <dc:creator>news</dc:creator>
  <cp:keywords/>
  <dc:description/>
  <cp:lastModifiedBy>杨艳</cp:lastModifiedBy>
  <cp:revision>4</cp:revision>
  <cp:lastPrinted>2014-01-07T01:39:00Z</cp:lastPrinted>
  <dcterms:created xsi:type="dcterms:W3CDTF">2015-01-06T01:51:00Z</dcterms:created>
  <dcterms:modified xsi:type="dcterms:W3CDTF">2015-01-06T03:15:00Z</dcterms:modified>
</cp:coreProperties>
</file>